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65" w:rsidRPr="004E5A1D" w:rsidRDefault="00414B65" w:rsidP="00414B65">
      <w:pPr>
        <w:widowControl/>
        <w:snapToGrid/>
        <w:ind w:left="5664" w:firstLine="708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Приложение № 6</w:t>
      </w:r>
    </w:p>
    <w:p w:rsidR="00414B65" w:rsidRPr="004E5A1D" w:rsidRDefault="00414B65" w:rsidP="00414B65">
      <w:pPr>
        <w:widowControl/>
        <w:snapToGrid/>
        <w:ind w:left="4820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к решению Добриковского сельского Совета народных депутатов</w:t>
      </w:r>
      <w:r w:rsidR="00024F41" w:rsidRPr="004E5A1D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от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 21.12.2023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г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. 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№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 4-130</w:t>
      </w:r>
      <w:r w:rsidR="00287569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bookmarkStart w:id="0" w:name="_GoBack"/>
      <w:bookmarkEnd w:id="0"/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бюджете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Добриковского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сельского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поселения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Брасовского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муниципального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района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                     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Брянской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области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4E5A1D" w:rsidRPr="004E5A1D">
        <w:rPr>
          <w:rFonts w:ascii="Times New Roman" w:hAnsi="Times New Roman"/>
          <w:snapToGrid w:val="0"/>
          <w:color w:val="000000"/>
          <w:sz w:val="22"/>
          <w:szCs w:val="22"/>
        </w:rPr>
        <w:t>4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плановый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период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4E5A1D" w:rsidRPr="004E5A1D">
        <w:rPr>
          <w:rFonts w:ascii="Times New Roman" w:hAnsi="Times New Roman"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4E5A1D" w:rsidRPr="004E5A1D">
        <w:rPr>
          <w:rFonts w:ascii="Times New Roman" w:hAnsi="Times New Roman"/>
          <w:snapToGrid w:val="0"/>
          <w:color w:val="000000"/>
          <w:sz w:val="22"/>
          <w:szCs w:val="22"/>
        </w:rPr>
        <w:t>6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годов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</w:p>
    <w:p w:rsidR="00414B65" w:rsidRPr="004E5A1D" w:rsidRDefault="00414B65" w:rsidP="00414B65">
      <w:pPr>
        <w:widowControl/>
        <w:tabs>
          <w:tab w:val="left" w:pos="6090"/>
        </w:tabs>
        <w:snapToGrid/>
        <w:jc w:val="both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z w:val="22"/>
          <w:szCs w:val="22"/>
        </w:rPr>
        <w:tab/>
      </w: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 xml:space="preserve">Источники внутреннего финансирования дефицита бюджета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Добриковского сельского поселения Брасовского муниципального района Брянской области на 202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4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год и на плановый период 202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и 202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6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годов</w:t>
      </w:r>
    </w:p>
    <w:p w:rsidR="00414B65" w:rsidRPr="004E5A1D" w:rsidRDefault="00414B65" w:rsidP="00414B65">
      <w:pPr>
        <w:widowControl/>
        <w:tabs>
          <w:tab w:val="left" w:pos="9255"/>
        </w:tabs>
        <w:snapToGrid/>
        <w:jc w:val="right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</w:t>
      </w:r>
      <w:r w:rsidRPr="004E5A1D">
        <w:rPr>
          <w:rFonts w:ascii="Times New Roman" w:hAnsi="Times New Roman"/>
          <w:color w:val="2D2D2D"/>
          <w:sz w:val="22"/>
          <w:szCs w:val="22"/>
        </w:rPr>
        <w:t xml:space="preserve">Рублей </w:t>
      </w:r>
    </w:p>
    <w:tbl>
      <w:tblPr>
        <w:tblW w:w="0" w:type="auto"/>
        <w:tblInd w:w="-85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7"/>
        <w:gridCol w:w="2594"/>
        <w:gridCol w:w="1693"/>
        <w:gridCol w:w="1346"/>
        <w:gridCol w:w="1346"/>
      </w:tblGrid>
      <w:tr w:rsidR="00414B65" w:rsidRPr="004E5A1D" w:rsidTr="008F0786">
        <w:trPr>
          <w:trHeight w:val="15"/>
        </w:trPr>
        <w:tc>
          <w:tcPr>
            <w:tcW w:w="3227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3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Наименование источника финансирования дефицита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4B65" w:rsidRPr="004E5A1D" w:rsidRDefault="00414B65" w:rsidP="004E5A1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4E5A1D">
              <w:rPr>
                <w:rFonts w:ascii="Times New Roman" w:hAnsi="Times New Roman"/>
                <w:sz w:val="22"/>
                <w:szCs w:val="22"/>
              </w:rPr>
              <w:t>4</w:t>
            </w:r>
            <w:r w:rsidR="00836B48" w:rsidRPr="004E5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4E5A1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4E5A1D">
              <w:rPr>
                <w:rFonts w:ascii="Times New Roman" w:hAnsi="Times New Roman"/>
                <w:sz w:val="22"/>
                <w:szCs w:val="22"/>
              </w:rPr>
              <w:t>5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4E5A1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4E5A1D">
              <w:rPr>
                <w:rFonts w:ascii="Times New Roman" w:hAnsi="Times New Roman"/>
                <w:sz w:val="22"/>
                <w:szCs w:val="22"/>
              </w:rPr>
              <w:t>6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206 00 00 00 00 00 0000 000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Источники внутреннего финансирования дефицитов бюджета Добриковское сельское поселение Брасовского муниципального района Брянской области в т. ч.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206  01 05 00 00 00 0000 000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206 01 05 02 01 10 0000 610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8F0786" w:rsidRPr="004E5A1D" w:rsidTr="008F0786">
        <w:tc>
          <w:tcPr>
            <w:tcW w:w="5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8F0786">
            <w:pPr>
              <w:widowControl/>
              <w:snapToGrid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Итого источников внутреннего финансирования дефицита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</w:tbl>
    <w:p w:rsidR="00414B65" w:rsidRPr="004E5A1D" w:rsidRDefault="00414B65" w:rsidP="00414B65">
      <w:pPr>
        <w:widowControl/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ind w:right="-142"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sz w:val="22"/>
          <w:szCs w:val="22"/>
        </w:rPr>
      </w:pPr>
    </w:p>
    <w:p w:rsidR="00970E13" w:rsidRPr="004E5A1D" w:rsidRDefault="00970E13">
      <w:pPr>
        <w:rPr>
          <w:sz w:val="22"/>
          <w:szCs w:val="22"/>
        </w:rPr>
      </w:pPr>
    </w:p>
    <w:sectPr w:rsidR="00970E13" w:rsidRPr="004E5A1D" w:rsidSect="00414B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65"/>
    <w:rsid w:val="00024F41"/>
    <w:rsid w:val="00287569"/>
    <w:rsid w:val="00414B65"/>
    <w:rsid w:val="004E5A1D"/>
    <w:rsid w:val="00836B48"/>
    <w:rsid w:val="008F0786"/>
    <w:rsid w:val="0097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 Ольга Сергеевна</dc:creator>
  <cp:lastModifiedBy>Бухгалтер</cp:lastModifiedBy>
  <cp:revision>6</cp:revision>
  <dcterms:created xsi:type="dcterms:W3CDTF">2021-11-12T08:51:00Z</dcterms:created>
  <dcterms:modified xsi:type="dcterms:W3CDTF">2023-12-25T13:48:00Z</dcterms:modified>
</cp:coreProperties>
</file>